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9F20CB" w:rsidRPr="00663F21" w14:paraId="22E4864C" w14:textId="77777777" w:rsidTr="009F20CB">
        <w:trPr>
          <w:trHeight w:val="811"/>
          <w:jc w:val="center"/>
        </w:trPr>
        <w:tc>
          <w:tcPr>
            <w:tcW w:w="5000" w:type="pct"/>
            <w:gridSpan w:val="4"/>
            <w:tcBorders>
              <w:top w:val="nil"/>
              <w:left w:val="nil"/>
              <w:right w:val="nil"/>
            </w:tcBorders>
            <w:shd w:val="clear" w:color="auto" w:fill="auto"/>
            <w:vAlign w:val="center"/>
          </w:tcPr>
          <w:p w14:paraId="175E9771" w14:textId="25705B1F" w:rsidR="009F20CB" w:rsidRPr="009F20CB" w:rsidRDefault="009F20CB" w:rsidP="009F20CB">
            <w:pPr>
              <w:spacing w:line="360" w:lineRule="auto"/>
              <w:jc w:val="center"/>
            </w:pPr>
            <w:bookmarkStart w:id="0" w:name="_Toc501359804"/>
            <w:r w:rsidRPr="00663F21">
              <w:t>STANDARD OPERATING PROCEDURE</w:t>
            </w:r>
            <w:bookmarkEnd w:id="0"/>
            <w:r>
              <w:t>-SODIUM BOROHYDRIDE</w:t>
            </w: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544E7D"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544E7D"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544E7D"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5CE697E5" w14:textId="072E73BE" w:rsidR="0081197A" w:rsidRDefault="00162968" w:rsidP="00CB4C1A">
            <w:pPr>
              <w:spacing w:line="360" w:lineRule="auto"/>
              <w:rPr>
                <w:bCs/>
              </w:rPr>
            </w:pPr>
            <w:r>
              <w:rPr>
                <w:b/>
                <w:bCs/>
              </w:rPr>
              <w:t>Sodium Borohydride</w:t>
            </w:r>
            <w:r w:rsidR="0011123D">
              <w:rPr>
                <w:b/>
                <w:bCs/>
              </w:rPr>
              <w:t xml:space="preserve"> </w:t>
            </w:r>
            <w:r w:rsidR="0011123D">
              <w:rPr>
                <w:bCs/>
              </w:rPr>
              <w:t>(</w:t>
            </w:r>
            <w:r w:rsidR="00CB4C1A">
              <w:rPr>
                <w:bCs/>
              </w:rPr>
              <w:t>NaBH</w:t>
            </w:r>
            <w:r w:rsidR="00CB4C1A">
              <w:rPr>
                <w:bCs/>
                <w:vertAlign w:val="subscript"/>
              </w:rPr>
              <w:t>4</w:t>
            </w:r>
            <w:r w:rsidR="0011123D">
              <w:rPr>
                <w:bCs/>
              </w:rPr>
              <w:t xml:space="preserve">), </w:t>
            </w:r>
            <w:r w:rsidR="00CB4C1A">
              <w:rPr>
                <w:bCs/>
              </w:rPr>
              <w:t xml:space="preserve">SBH, sodium </w:t>
            </w:r>
            <w:proofErr w:type="spellStart"/>
            <w:r w:rsidR="00CB4C1A">
              <w:rPr>
                <w:bCs/>
              </w:rPr>
              <w:t>tetrahydroborate</w:t>
            </w:r>
            <w:proofErr w:type="spellEnd"/>
          </w:p>
          <w:p w14:paraId="0CA9A391" w14:textId="4EC7AA8C" w:rsidR="00CB4C1A" w:rsidRPr="0081197A" w:rsidRDefault="00CB4C1A" w:rsidP="00CB4C1A">
            <w:pPr>
              <w:spacing w:line="360" w:lineRule="auto"/>
              <w:rPr>
                <w:bCs/>
              </w:rPr>
            </w:pP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426FB5C9" w14:textId="717F1C3E" w:rsidR="00795B6A" w:rsidRPr="00D53B75" w:rsidRDefault="00CB4C1A" w:rsidP="00663F21">
            <w:pPr>
              <w:spacing w:line="360" w:lineRule="auto"/>
              <w:rPr>
                <w:rFonts w:cstheme="minorHAnsi"/>
              </w:rPr>
            </w:pPr>
            <w:r>
              <w:rPr>
                <w:rFonts w:cstheme="minorHAnsi"/>
              </w:rPr>
              <w:t xml:space="preserve">Sodium borohydride </w:t>
            </w:r>
            <w:r w:rsidR="00D53B75" w:rsidRPr="00D53B75">
              <w:rPr>
                <w:rFonts w:cstheme="minorHAnsi"/>
                <w:shd w:val="clear" w:color="auto" w:fill="FFFFFF"/>
              </w:rPr>
              <w:t>is a white to grayish crystalline powder. It is decomposed by </w:t>
            </w:r>
            <w:hyperlink r:id="rId7" w:history="1">
              <w:r w:rsidR="00D53B75" w:rsidRPr="00D53B75">
                <w:rPr>
                  <w:rStyle w:val="Hyperlink"/>
                  <w:rFonts w:cstheme="minorHAnsi"/>
                  <w:color w:val="auto"/>
                  <w:u w:val="none"/>
                  <w:shd w:val="clear" w:color="auto" w:fill="FFFFFF"/>
                </w:rPr>
                <w:t>water</w:t>
              </w:r>
            </w:hyperlink>
            <w:r w:rsidR="00D53B75" w:rsidRPr="00D53B75">
              <w:rPr>
                <w:rFonts w:cstheme="minorHAnsi"/>
                <w:shd w:val="clear" w:color="auto" w:fill="FFFFFF"/>
              </w:rPr>
              <w:t> to form </w:t>
            </w:r>
            <w:hyperlink r:id="rId8" w:history="1">
              <w:r w:rsidR="00D53B75" w:rsidRPr="00D53B75">
                <w:rPr>
                  <w:rStyle w:val="Hyperlink"/>
                  <w:rFonts w:cstheme="minorHAnsi"/>
                  <w:color w:val="auto"/>
                  <w:u w:val="none"/>
                  <w:shd w:val="clear" w:color="auto" w:fill="FFFFFF"/>
                </w:rPr>
                <w:t>sodium hydroxide</w:t>
              </w:r>
            </w:hyperlink>
            <w:r w:rsidR="00D53B75" w:rsidRPr="00D53B75">
              <w:rPr>
                <w:rFonts w:cstheme="minorHAnsi"/>
                <w:shd w:val="clear" w:color="auto" w:fill="FFFFFF"/>
              </w:rPr>
              <w:t>, a corrosive material, and </w:t>
            </w:r>
            <w:hyperlink r:id="rId9" w:history="1">
              <w:r w:rsidR="00D53B75" w:rsidRPr="00D53B75">
                <w:rPr>
                  <w:rStyle w:val="Hyperlink"/>
                  <w:rFonts w:cstheme="minorHAnsi"/>
                  <w:color w:val="auto"/>
                  <w:u w:val="none"/>
                  <w:shd w:val="clear" w:color="auto" w:fill="FFFFFF"/>
                </w:rPr>
                <w:t>hydrogen</w:t>
              </w:r>
            </w:hyperlink>
            <w:r w:rsidR="00D53B75" w:rsidRPr="00D53B75">
              <w:rPr>
                <w:rFonts w:cstheme="minorHAnsi"/>
                <w:shd w:val="clear" w:color="auto" w:fill="FFFFFF"/>
              </w:rPr>
              <w:t>, a flammable gas. The heat of this reaction may be sufficient to ignite the </w:t>
            </w:r>
            <w:hyperlink r:id="rId10" w:history="1">
              <w:r w:rsidR="00D53B75" w:rsidRPr="00D53B75">
                <w:rPr>
                  <w:rStyle w:val="Hyperlink"/>
                  <w:rFonts w:cstheme="minorHAnsi"/>
                  <w:color w:val="auto"/>
                  <w:u w:val="none"/>
                  <w:shd w:val="clear" w:color="auto" w:fill="FFFFFF"/>
                </w:rPr>
                <w:t>hydrogen</w:t>
              </w:r>
            </w:hyperlink>
            <w:r w:rsidR="00D53B75" w:rsidRPr="00D53B75">
              <w:rPr>
                <w:rFonts w:cstheme="minorHAnsi"/>
                <w:shd w:val="clear" w:color="auto" w:fill="FFFFFF"/>
              </w:rPr>
              <w:t xml:space="preserve">. The material itself is easily ignited and burns vigorously once ignited. </w:t>
            </w:r>
            <w:r w:rsidR="0024459B">
              <w:rPr>
                <w:rFonts w:cstheme="minorHAnsi"/>
                <w:shd w:val="clear" w:color="auto" w:fill="FFFFFF"/>
              </w:rPr>
              <w:t xml:space="preserve">Sodium borohydride is also incompatible with aluminum as the violent exothermic reaction liberates flammable gases, including hydrogen. </w:t>
            </w:r>
            <w:r w:rsidR="00D53B75" w:rsidRPr="00D53B75">
              <w:rPr>
                <w:rFonts w:cstheme="minorHAnsi"/>
                <w:shd w:val="clear" w:color="auto" w:fill="FFFFFF"/>
              </w:rPr>
              <w:t>It is used to make other chemicals, treat waste </w:t>
            </w:r>
            <w:hyperlink r:id="rId11" w:history="1">
              <w:r w:rsidR="00D53B75" w:rsidRPr="00D53B75">
                <w:rPr>
                  <w:rStyle w:val="Hyperlink"/>
                  <w:rFonts w:cstheme="minorHAnsi"/>
                  <w:color w:val="auto"/>
                  <w:u w:val="none"/>
                  <w:shd w:val="clear" w:color="auto" w:fill="FFFFFF"/>
                </w:rPr>
                <w:t>water</w:t>
              </w:r>
            </w:hyperlink>
            <w:r w:rsidR="00D53B75" w:rsidRPr="00D53B75">
              <w:rPr>
                <w:rFonts w:cstheme="minorHAnsi"/>
                <w:shd w:val="clear" w:color="auto" w:fill="FFFFFF"/>
              </w:rPr>
              <w:t>, and for many other uses.</w:t>
            </w:r>
            <w:r w:rsidR="00D53B75">
              <w:rPr>
                <w:rFonts w:cstheme="minorHAnsi"/>
                <w:shd w:val="clear" w:color="auto" w:fill="FFFFFF"/>
              </w:rPr>
              <w:t xml:space="preserve">  </w:t>
            </w:r>
            <w:r w:rsidR="0060234B">
              <w:rPr>
                <w:rFonts w:cstheme="minorHAnsi"/>
                <w:shd w:val="clear" w:color="auto" w:fill="FFFFFF"/>
              </w:rPr>
              <w:t xml:space="preserve">Sodium borohydride may have adverse effects on fertility and unborn children. It </w:t>
            </w:r>
            <w:r w:rsidR="0024459B">
              <w:rPr>
                <w:rFonts w:cstheme="minorHAnsi"/>
                <w:shd w:val="clear" w:color="auto" w:fill="FFFFFF"/>
              </w:rPr>
              <w:t xml:space="preserve">can </w:t>
            </w:r>
            <w:r w:rsidR="0060234B">
              <w:rPr>
                <w:rFonts w:cstheme="minorHAnsi"/>
                <w:shd w:val="clear" w:color="auto" w:fill="FFFFFF"/>
              </w:rPr>
              <w:t>also cause severe burns and is toxic if swallowed.</w:t>
            </w:r>
          </w:p>
          <w:p w14:paraId="4ABCFE84" w14:textId="77777777" w:rsidR="00AC4CA1" w:rsidRPr="007854D1" w:rsidRDefault="00AC4CA1" w:rsidP="00663F21">
            <w:pPr>
              <w:spacing w:line="360" w:lineRule="auto"/>
              <w:rPr>
                <w:rFonts w:cstheme="minorHAnsi"/>
              </w:rPr>
            </w:pPr>
          </w:p>
          <w:p w14:paraId="1970CF65" w14:textId="4303BA29"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79286C">
              <w:rPr>
                <w:rFonts w:cstheme="minorHAnsi"/>
              </w:rPr>
              <w:t xml:space="preserve">Give artificial respiration if necessary. Do not use mouth-to-mouth resuscitation. </w:t>
            </w:r>
            <w:r w:rsidRPr="007854D1">
              <w:rPr>
                <w:rFonts w:cstheme="minorHAnsi"/>
              </w:rPr>
              <w:t xml:space="preserve">Consult a </w:t>
            </w:r>
            <w:r w:rsidR="00A06313" w:rsidRPr="007854D1">
              <w:rPr>
                <w:rFonts w:cstheme="minorHAnsi"/>
              </w:rPr>
              <w:t>doctor/medical service</w:t>
            </w:r>
            <w:r w:rsidR="006F7A1E">
              <w:rPr>
                <w:rFonts w:cstheme="minorHAnsi"/>
              </w:rPr>
              <w:t xml:space="preserve"> immediately.</w:t>
            </w:r>
          </w:p>
          <w:p w14:paraId="17D10593" w14:textId="5B35B456"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sidR="003309A4">
              <w:rPr>
                <w:rFonts w:cstheme="minorHAnsi"/>
              </w:rPr>
              <w:t xml:space="preserve">Remove contaminated clothing. </w:t>
            </w:r>
            <w:r w:rsidR="0060234B">
              <w:t xml:space="preserve">Brush off loose particles from skin. Immerse in cool water/wrap with wet bandages.  </w:t>
            </w:r>
            <w:r w:rsidRPr="007854D1">
              <w:rPr>
                <w:rFonts w:cstheme="minorHAnsi"/>
              </w:rPr>
              <w:t>Consult a doctor/medical service</w:t>
            </w:r>
            <w:r w:rsidR="00795B6A">
              <w:rPr>
                <w:rFonts w:cstheme="minorHAnsi"/>
              </w:rPr>
              <w:t xml:space="preserve"> </w:t>
            </w:r>
            <w:r w:rsidR="0060234B">
              <w:rPr>
                <w:rFonts w:cstheme="minorHAnsi"/>
              </w:rPr>
              <w:t>immediately</w:t>
            </w:r>
            <w:r w:rsidR="00075249">
              <w:rPr>
                <w:rFonts w:cstheme="minorHAnsi"/>
              </w:rPr>
              <w:t>.</w:t>
            </w:r>
          </w:p>
          <w:p w14:paraId="48CF8E80" w14:textId="09852D67"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w:t>
            </w:r>
            <w:r w:rsidR="00B73F83">
              <w:rPr>
                <w:rFonts w:cstheme="minorHAnsi"/>
              </w:rPr>
              <w:t>onsult a doctor/medical service immediately.</w:t>
            </w:r>
          </w:p>
          <w:p w14:paraId="063B9482" w14:textId="77777777" w:rsidR="007854D1" w:rsidRDefault="00A06313" w:rsidP="00B269A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Do not induce vomiting. </w:t>
            </w:r>
            <w:r w:rsidR="00F66F22">
              <w:t xml:space="preserve">Never give anything by mouth to an unconscious person.  </w:t>
            </w:r>
            <w:r w:rsidR="00CB4827" w:rsidRPr="007854D1">
              <w:rPr>
                <w:rFonts w:cstheme="minorHAnsi"/>
              </w:rPr>
              <w:t>Immediately consult a doctor/medical service.</w:t>
            </w:r>
            <w:r w:rsidR="003309A4">
              <w:rPr>
                <w:rFonts w:cstheme="minorHAnsi"/>
              </w:rPr>
              <w:t xml:space="preserve"> </w:t>
            </w:r>
          </w:p>
          <w:p w14:paraId="0C4FB731" w14:textId="77777777" w:rsidR="0024459B" w:rsidRDefault="0024459B" w:rsidP="00B269A7">
            <w:pPr>
              <w:spacing w:line="360" w:lineRule="auto"/>
              <w:rPr>
                <w:rFonts w:cstheme="minorHAnsi"/>
              </w:rPr>
            </w:pPr>
          </w:p>
          <w:p w14:paraId="79B2F7F4" w14:textId="77777777" w:rsidR="0024459B" w:rsidRDefault="0024459B" w:rsidP="00B269A7">
            <w:pPr>
              <w:spacing w:line="360" w:lineRule="auto"/>
              <w:rPr>
                <w:rFonts w:cstheme="minorHAnsi"/>
              </w:rPr>
            </w:pPr>
          </w:p>
          <w:p w14:paraId="4A22D608" w14:textId="1B7E0F11" w:rsidR="0024459B" w:rsidRPr="00D70124" w:rsidRDefault="0024459B" w:rsidP="00B269A7">
            <w:pPr>
              <w:spacing w:line="360" w:lineRule="auto"/>
              <w:rPr>
                <w:rFonts w:cstheme="minorHAnsi"/>
              </w:rPr>
            </w:pPr>
          </w:p>
        </w:tc>
      </w:tr>
      <w:tr w:rsidR="00663F21" w:rsidRPr="00663F21" w14:paraId="79CA69BD" w14:textId="77777777" w:rsidTr="00DD259D">
        <w:trPr>
          <w:trHeight w:val="360"/>
          <w:jc w:val="center"/>
        </w:trPr>
        <w:tc>
          <w:tcPr>
            <w:tcW w:w="5000" w:type="pct"/>
            <w:gridSpan w:val="4"/>
            <w:shd w:val="clear" w:color="auto" w:fill="EAF1DD"/>
            <w:vAlign w:val="center"/>
          </w:tcPr>
          <w:p w14:paraId="1BC89A0B"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t>Precautions:</w:t>
            </w:r>
          </w:p>
          <w:p w14:paraId="02C83FDC" w14:textId="0178F30F" w:rsidR="00EF11FF" w:rsidRDefault="003309A4" w:rsidP="00521C74">
            <w:pPr>
              <w:spacing w:line="360" w:lineRule="auto"/>
            </w:pPr>
            <w:r>
              <w:t xml:space="preserve">Avoid breathing vapors or mist. </w:t>
            </w:r>
            <w:r w:rsidR="0024459B">
              <w:t xml:space="preserve">Avoid the formation and ingestion of dust. </w:t>
            </w:r>
            <w:r w:rsidR="00305079">
              <w:t xml:space="preserve">Avoid contact with skin, eyes, and clothing. </w:t>
            </w:r>
            <w:r w:rsidR="0024459B">
              <w:t xml:space="preserve">Do not allow contact with water. </w:t>
            </w:r>
            <w:r w:rsidR="00EF11FF">
              <w:t>Wash hands and other exposed areas with mild soap and water before eating, drinking or smoking and when leaving work. Wash contaminated clothing before reuse. Do not eat, drink or smoke when using this product.</w:t>
            </w:r>
          </w:p>
          <w:p w14:paraId="57468E9F" w14:textId="77777777" w:rsidR="002B78C2" w:rsidRDefault="002B78C2" w:rsidP="002B78C2">
            <w:pPr>
              <w:spacing w:line="360" w:lineRule="auto"/>
              <w:rPr>
                <w:b/>
                <w:u w:val="single"/>
                <w:lang w:val="en"/>
              </w:rPr>
            </w:pPr>
            <w:r>
              <w:rPr>
                <w:b/>
                <w:u w:val="single"/>
                <w:lang w:val="en"/>
              </w:rPr>
              <w:t>Storage:</w:t>
            </w:r>
          </w:p>
          <w:p w14:paraId="48DA5057" w14:textId="3CFAD8A2" w:rsidR="00663F21" w:rsidRPr="00663F21" w:rsidRDefault="00521C74" w:rsidP="00E652F2">
            <w:pPr>
              <w:spacing w:line="360" w:lineRule="auto"/>
              <w:rPr>
                <w:lang w:val="en"/>
              </w:rPr>
            </w:pPr>
            <w:r>
              <w:rPr>
                <w:lang w:val="en"/>
              </w:rPr>
              <w:t xml:space="preserve">Store in a </w:t>
            </w:r>
            <w:r w:rsidR="00305079">
              <w:rPr>
                <w:lang w:val="en"/>
              </w:rPr>
              <w:t>cool, ventilated location</w:t>
            </w:r>
            <w:r w:rsidR="0024459B">
              <w:rPr>
                <w:lang w:val="en"/>
              </w:rPr>
              <w:t xml:space="preserve"> </w:t>
            </w:r>
            <w:r w:rsidR="00E652F2">
              <w:rPr>
                <w:lang w:val="en"/>
              </w:rPr>
              <w:t>with water- and air-reactive chemicals</w:t>
            </w:r>
            <w:r>
              <w:rPr>
                <w:lang w:val="en"/>
              </w:rPr>
              <w:t xml:space="preserve">. </w:t>
            </w:r>
            <w:r w:rsidR="00305079">
              <w:rPr>
                <w:lang w:val="en"/>
              </w:rPr>
              <w:t xml:space="preserve">Keep container tightly sealed and </w:t>
            </w:r>
            <w:r w:rsidR="0024459B">
              <w:rPr>
                <w:lang w:val="en"/>
              </w:rPr>
              <w:t xml:space="preserve">away from water. Do not store in aluminum containers. </w:t>
            </w:r>
            <w:r w:rsidR="00305079">
              <w:rPr>
                <w:lang w:val="en"/>
              </w:rPr>
              <w:t xml:space="preserve"> </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6C066270" w:rsidR="00521C74" w:rsidRPr="00663F21" w:rsidRDefault="00F20CE0" w:rsidP="00F20CE0">
            <w:pPr>
              <w:spacing w:line="360" w:lineRule="auto"/>
            </w:pPr>
            <w:r>
              <w:t xml:space="preserve">This chemical must be used within a chemical fume hood/snorkel. </w:t>
            </w:r>
            <w:r w:rsidR="00F66F22">
              <w:t xml:space="preserve">The room where the chemical is being used should be equipped with proper exhaust ventilation to keep the airborne concentration below the allowable exposure limit.  </w:t>
            </w:r>
            <w:r w:rsidR="007854D1">
              <w:t xml:space="preserve">Emergency eye wash fountains </w:t>
            </w:r>
            <w:r w:rsidR="0024459B">
              <w:t xml:space="preserve">and safety showers </w:t>
            </w:r>
            <w:r w:rsidR="007854D1">
              <w:t>should be available in the immediate vicinity of any potential exposure.</w:t>
            </w:r>
            <w:r w:rsidR="00980C70">
              <w:t xml:space="preserve"> </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3EC5F423" w14:textId="77777777" w:rsidR="00663F21" w:rsidRPr="00663F21" w:rsidRDefault="00663F21" w:rsidP="00663F21">
            <w:pPr>
              <w:spacing w:line="360" w:lineRule="auto"/>
              <w:rPr>
                <w:bCs/>
                <w:i/>
              </w:rPr>
            </w:pPr>
          </w:p>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544E7D"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544E7D"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79FE6514" w:rsidR="00663F21" w:rsidRPr="00663F21" w:rsidRDefault="00544E7D"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C35F49">
                  <w:t xml:space="preserve">Nitrile rubber </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544E7D"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544E7D"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388EF7E5" w:rsidR="00663F21" w:rsidRPr="00663F21" w:rsidRDefault="00544E7D" w:rsidP="00663F21">
            <w:pPr>
              <w:spacing w:line="360" w:lineRule="auto"/>
            </w:pPr>
            <w:sdt>
              <w:sdtPr>
                <w:id w:val="464312949"/>
                <w14:checkbox>
                  <w14:checked w14:val="0"/>
                  <w14:checkedState w14:val="2612" w14:font="MS Gothic"/>
                  <w14:uncheckedState w14:val="2610" w14:font="MS Gothic"/>
                </w14:checkbox>
              </w:sdtPr>
              <w:sdtEndPr/>
              <w:sdtContent>
                <w:r w:rsidR="00D447F1">
                  <w:rPr>
                    <w:rFonts w:ascii="MS Gothic" w:eastAsia="MS Gothic" w:hAnsi="MS Gothic" w:hint="eastAsia"/>
                  </w:rPr>
                  <w:t>☐</w:t>
                </w:r>
              </w:sdtContent>
            </w:sdt>
            <w:r w:rsidR="00663F21" w:rsidRPr="00663F21">
              <w:t xml:space="preserve"> Face shield </w:t>
            </w:r>
          </w:p>
          <w:p w14:paraId="4C7D1169" w14:textId="77777777" w:rsidR="00663F21" w:rsidRPr="00663F21" w:rsidRDefault="00544E7D"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7511D94F" w14:textId="77777777" w:rsidR="00663F21" w:rsidRPr="00663F21" w:rsidRDefault="00544E7D"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48CAA8AE" w14:textId="77777777" w:rsidR="00663F21" w:rsidRPr="00663F21" w:rsidRDefault="00544E7D"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3AE72334" w14:textId="77777777" w:rsidR="00D70124" w:rsidRDefault="00663F21" w:rsidP="00663F21">
            <w:pPr>
              <w:spacing w:line="360" w:lineRule="auto"/>
            </w:pPr>
            <w:r w:rsidRPr="00663F21">
              <w:t xml:space="preserve">If the use of an N95, half mask, or full face respirator is requested, the individual and/or their supervisor must first contact Environmental Health &amp; Safety for a consultation to determine if respirator use is necessary.  If EH&amp;S determines the use of a </w:t>
            </w:r>
            <w:r w:rsidRPr="00663F21">
              <w:lastRenderedPageBreak/>
              <w:t>respirator is necessary, the individual must participate in the University’s respirator program. This includes a medical evaluation; respirator fit test, and training.</w:t>
            </w:r>
          </w:p>
          <w:p w14:paraId="00132BFC" w14:textId="77777777" w:rsidR="00E82518" w:rsidRDefault="00E82518" w:rsidP="00663F21">
            <w:pPr>
              <w:spacing w:line="360" w:lineRule="auto"/>
            </w:pPr>
          </w:p>
          <w:p w14:paraId="14506A6D" w14:textId="503E4613" w:rsidR="00E82518" w:rsidRPr="00D70124" w:rsidRDefault="00E82518" w:rsidP="00663F21">
            <w:pPr>
              <w:spacing w:line="360" w:lineRule="auto"/>
            </w:pP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24F3E7CF" w14:textId="77777777" w:rsidR="00663F21" w:rsidRPr="00663F21" w:rsidRDefault="00663F21" w:rsidP="00663F21">
            <w:pPr>
              <w:spacing w:line="360" w:lineRule="auto"/>
            </w:pPr>
            <w:r w:rsidRPr="00663F21">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2C03B072" w:rsidR="00663F21" w:rsidRPr="00663F21" w:rsidRDefault="00663F21" w:rsidP="00663F21">
            <w:pPr>
              <w:spacing w:line="360" w:lineRule="auto"/>
              <w:rPr>
                <w:bCs/>
              </w:rPr>
            </w:pPr>
            <w:r w:rsidRPr="00663F21">
              <w:rPr>
                <w:b/>
                <w:bCs/>
              </w:rPr>
              <w:lastRenderedPageBreak/>
              <w:t>Incident and Near Miss Reporting</w:t>
            </w:r>
            <w:r w:rsidRPr="00663F21">
              <w:rPr>
                <w:bCs/>
              </w:rPr>
              <w:t xml:space="preserve">: </w:t>
            </w:r>
            <w:r w:rsidR="00CA139F">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1C351E19" w:rsidR="00663F21" w:rsidRDefault="00544E7D" w:rsidP="00663F21">
            <w:pPr>
              <w:spacing w:line="360" w:lineRule="auto"/>
              <w:rPr>
                <w:rStyle w:val="Hyperlink"/>
                <w:bCs/>
              </w:rPr>
            </w:pPr>
            <w:hyperlink r:id="rId12" w:history="1">
              <w:r w:rsidR="00663F21" w:rsidRPr="00663F21">
                <w:rPr>
                  <w:rStyle w:val="Hyperlink"/>
                  <w:bCs/>
                </w:rPr>
                <w:t>http://www.usf.edu/administrative-services/environmental-health-safety/reporting/index.aspx</w:t>
              </w:r>
            </w:hyperlink>
          </w:p>
          <w:p w14:paraId="3CD06F90" w14:textId="77777777" w:rsidR="00D70124" w:rsidRPr="00663F21" w:rsidRDefault="00D70124" w:rsidP="00663F21">
            <w:pPr>
              <w:spacing w:line="360" w:lineRule="auto"/>
              <w:rPr>
                <w:b/>
                <w:bCs/>
              </w:rPr>
            </w:pPr>
          </w:p>
          <w:p w14:paraId="26B510AB"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0758BF">
              <w:rPr>
                <w:bCs/>
              </w:rPr>
              <w:t>Complete the Supervisor’s Accident Investigation Report available at the link above and send it to EH&amp;S within 24 hours.</w:t>
            </w:r>
          </w:p>
          <w:p w14:paraId="0277D9F0" w14:textId="3C8DCB17" w:rsidR="000758BF" w:rsidRPr="00663F21" w:rsidRDefault="000758BF" w:rsidP="00663F21">
            <w:pPr>
              <w:spacing w:line="360" w:lineRule="auto"/>
              <w:rPr>
                <w:b/>
                <w:bCs/>
              </w:rPr>
            </w:pPr>
            <w:bookmarkStart w:id="1" w:name="_GoBack"/>
            <w:bookmarkEnd w:id="1"/>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78948285" w:rsidR="00663F21" w:rsidRPr="00663F21" w:rsidRDefault="00553E27"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13"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4CCFB263" w14:textId="77777777" w:rsidR="00553E27" w:rsidRPr="00663F21" w:rsidRDefault="00553E27" w:rsidP="00553E27">
            <w:pPr>
              <w:spacing w:line="360" w:lineRule="auto"/>
            </w:pPr>
            <w:r w:rsidRPr="00663F21">
              <w:t xml:space="preserve">All individuals working with chemicals in USF laboratories must take EH&amp;S’s Laboratory &amp; Research Safety Training. To register for Laboratory &amp; Research Training, please use the following link, </w:t>
            </w:r>
            <w:hyperlink r:id="rId14" w:anchor="labsafety" w:history="1">
              <w:r>
                <w:rPr>
                  <w:rStyle w:val="Hyperlink"/>
                </w:rPr>
                <w:t>https://www.usf.edu/administrative-services/environmental-health-safety/training/course-descriptions.aspx#labsafety</w:t>
              </w:r>
            </w:hyperlink>
          </w:p>
          <w:p w14:paraId="3D57931B"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3B35902" w14:textId="77777777" w:rsidR="00663F21" w:rsidRPr="00663F21" w:rsidRDefault="00544E7D" w:rsidP="00663F21">
            <w:pPr>
              <w:spacing w:line="360" w:lineRule="auto"/>
            </w:pPr>
            <w:sdt>
              <w:sdtPr>
                <w:id w:val="-1759206356"/>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Research Specific Training from the PI/Lab Supervisor or their designee</w:t>
            </w:r>
          </w:p>
          <w:p w14:paraId="726A98A3" w14:textId="77777777" w:rsidR="00663F21" w:rsidRPr="00663F21" w:rsidRDefault="00544E7D" w:rsidP="00663F21">
            <w:pPr>
              <w:spacing w:line="360" w:lineRule="auto"/>
            </w:pPr>
            <w:sdt>
              <w:sdtPr>
                <w:id w:val="1858929543"/>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 xml:space="preserve">EH&amp;S Laboratory &amp; Research Safety Training </w:t>
            </w:r>
          </w:p>
          <w:p w14:paraId="7E6E892A" w14:textId="77777777" w:rsidR="00663F21" w:rsidRPr="00663F21" w:rsidRDefault="00544E7D"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Safety and Compliance in the Arts</w:t>
            </w:r>
          </w:p>
          <w:p w14:paraId="71911C72" w14:textId="77777777" w:rsidR="00663F21" w:rsidRPr="00663F21" w:rsidRDefault="00544E7D"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544E7D"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544E7D"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544E7D"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544E7D"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544E7D"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544E7D"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544E7D"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544E7D"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544E7D"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544E7D"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544E7D"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39433DC3" w14:textId="450993A8" w:rsidR="00663F21" w:rsidRPr="00663F21" w:rsidRDefault="00544E7D"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544E7D"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544E7D"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2EDA497" w14:textId="77777777" w:rsidR="00D70124" w:rsidRDefault="00D70124" w:rsidP="002831CF">
      <w:pPr>
        <w:ind w:left="90"/>
        <w:rPr>
          <w:rFonts w:eastAsia="Times New Roman" w:cstheme="minorHAnsi"/>
          <w:szCs w:val="28"/>
        </w:rPr>
      </w:pPr>
    </w:p>
    <w:p w14:paraId="0D2AB580" w14:textId="77777777" w:rsidR="00E82518" w:rsidRDefault="00E82518">
      <w:pPr>
        <w:rPr>
          <w:rFonts w:eastAsia="Times New Roman" w:cstheme="minorHAnsi"/>
          <w:szCs w:val="28"/>
        </w:rPr>
      </w:pPr>
      <w:r>
        <w:rPr>
          <w:rFonts w:eastAsia="Times New Roman" w:cstheme="minorHAnsi"/>
          <w:szCs w:val="28"/>
        </w:rPr>
        <w:br w:type="page"/>
      </w:r>
    </w:p>
    <w:p w14:paraId="7CB059B7" w14:textId="15AE0BA2" w:rsidR="002831CF" w:rsidRPr="0096513A" w:rsidRDefault="002831CF" w:rsidP="002831CF">
      <w:pPr>
        <w:ind w:left="90"/>
        <w:rPr>
          <w:rFonts w:eastAsia="Times New Roman" w:cstheme="minorHAnsi"/>
          <w:szCs w:val="28"/>
        </w:rPr>
      </w:pPr>
      <w:r w:rsidRPr="0096513A">
        <w:rPr>
          <w:rFonts w:eastAsia="Times New Roman" w:cstheme="minorHAnsi"/>
          <w:szCs w:val="28"/>
        </w:rPr>
        <w:lastRenderedPageBreak/>
        <w:t xml:space="preserve">By signing and dating here the Principal Investigator/ or a designee certifies that the Standard Operating Procedure (SOP) for </w:t>
      </w:r>
      <w:r w:rsidR="00E82518">
        <w:rPr>
          <w:rFonts w:eastAsia="Times New Roman" w:cstheme="minorHAnsi"/>
          <w:b/>
          <w:i/>
          <w:szCs w:val="28"/>
          <w:u w:val="single"/>
        </w:rPr>
        <w:t>Sodium Borohydride</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73A9A1A0"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E82518">
        <w:rPr>
          <w:rFonts w:eastAsia="Times New Roman" w:cstheme="minorHAnsi"/>
          <w:b/>
          <w:i/>
          <w:szCs w:val="28"/>
          <w:u w:val="single"/>
        </w:rPr>
        <w:t>Sodium Borohydride</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544E7D" w:rsidP="00663F21">
      <w:pPr>
        <w:spacing w:after="0" w:line="360" w:lineRule="auto"/>
      </w:pPr>
    </w:p>
    <w:sectPr w:rsidR="00CE1F09" w:rsidSect="00386CCE">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C579B" w14:textId="77777777" w:rsidR="00544E7D" w:rsidRDefault="00544E7D" w:rsidP="00CD0F74">
      <w:pPr>
        <w:spacing w:after="0" w:line="240" w:lineRule="auto"/>
      </w:pPr>
      <w:r>
        <w:separator/>
      </w:r>
    </w:p>
  </w:endnote>
  <w:endnote w:type="continuationSeparator" w:id="0">
    <w:p w14:paraId="75B92300" w14:textId="77777777" w:rsidR="00544E7D" w:rsidRDefault="00544E7D"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EA3F" w14:textId="79F28543" w:rsidR="00CD0F74" w:rsidRDefault="00CD0F74">
    <w:pPr>
      <w:pStyle w:val="Footer"/>
    </w:pPr>
    <w:r>
      <w:t xml:space="preserve">Last revised </w:t>
    </w:r>
    <w:r w:rsidR="00550FD8">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6D5E4" w14:textId="77777777" w:rsidR="00544E7D" w:rsidRDefault="00544E7D" w:rsidP="00CD0F74">
      <w:pPr>
        <w:spacing w:after="0" w:line="240" w:lineRule="auto"/>
      </w:pPr>
      <w:r>
        <w:separator/>
      </w:r>
    </w:p>
  </w:footnote>
  <w:footnote w:type="continuationSeparator" w:id="0">
    <w:p w14:paraId="4F7DCACB" w14:textId="77777777" w:rsidR="00544E7D" w:rsidRDefault="00544E7D"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NKwFAPnPwYotAAAA"/>
  </w:docVars>
  <w:rsids>
    <w:rsidRoot w:val="00663F21"/>
    <w:rsid w:val="0001174D"/>
    <w:rsid w:val="00075249"/>
    <w:rsid w:val="000758BF"/>
    <w:rsid w:val="000951FC"/>
    <w:rsid w:val="000A6002"/>
    <w:rsid w:val="0011123D"/>
    <w:rsid w:val="001149D6"/>
    <w:rsid w:val="00137C86"/>
    <w:rsid w:val="00141AA0"/>
    <w:rsid w:val="001579A6"/>
    <w:rsid w:val="00162968"/>
    <w:rsid w:val="001E3CDB"/>
    <w:rsid w:val="001E6CD9"/>
    <w:rsid w:val="0024459B"/>
    <w:rsid w:val="002831CF"/>
    <w:rsid w:val="002B2F54"/>
    <w:rsid w:val="002B78C2"/>
    <w:rsid w:val="002E6067"/>
    <w:rsid w:val="002F2FE6"/>
    <w:rsid w:val="002F6F98"/>
    <w:rsid w:val="00305079"/>
    <w:rsid w:val="003079CA"/>
    <w:rsid w:val="003115E3"/>
    <w:rsid w:val="003309A4"/>
    <w:rsid w:val="00375C60"/>
    <w:rsid w:val="00386CCE"/>
    <w:rsid w:val="003A54A9"/>
    <w:rsid w:val="003C6C1F"/>
    <w:rsid w:val="00485EC4"/>
    <w:rsid w:val="004B0DE5"/>
    <w:rsid w:val="004D1A89"/>
    <w:rsid w:val="00506A86"/>
    <w:rsid w:val="00520772"/>
    <w:rsid w:val="00521C74"/>
    <w:rsid w:val="00544E7D"/>
    <w:rsid w:val="00550FD8"/>
    <w:rsid w:val="00553E27"/>
    <w:rsid w:val="0056135F"/>
    <w:rsid w:val="00582117"/>
    <w:rsid w:val="005F41B9"/>
    <w:rsid w:val="00600C9F"/>
    <w:rsid w:val="0060234B"/>
    <w:rsid w:val="00663F21"/>
    <w:rsid w:val="006F7A1E"/>
    <w:rsid w:val="00722F40"/>
    <w:rsid w:val="007333EE"/>
    <w:rsid w:val="007854D1"/>
    <w:rsid w:val="0079286C"/>
    <w:rsid w:val="00795B6A"/>
    <w:rsid w:val="0081197A"/>
    <w:rsid w:val="0082749F"/>
    <w:rsid w:val="00835DB1"/>
    <w:rsid w:val="00864FA4"/>
    <w:rsid w:val="0089526B"/>
    <w:rsid w:val="008B2F71"/>
    <w:rsid w:val="0090279C"/>
    <w:rsid w:val="009349E8"/>
    <w:rsid w:val="009746AB"/>
    <w:rsid w:val="00980C70"/>
    <w:rsid w:val="00996970"/>
    <w:rsid w:val="009C0538"/>
    <w:rsid w:val="009F20CB"/>
    <w:rsid w:val="00A06313"/>
    <w:rsid w:val="00A21EA4"/>
    <w:rsid w:val="00A70002"/>
    <w:rsid w:val="00AA6281"/>
    <w:rsid w:val="00AC4CA1"/>
    <w:rsid w:val="00B13843"/>
    <w:rsid w:val="00B269A7"/>
    <w:rsid w:val="00B40488"/>
    <w:rsid w:val="00B43D38"/>
    <w:rsid w:val="00B5334D"/>
    <w:rsid w:val="00B6073D"/>
    <w:rsid w:val="00B73F83"/>
    <w:rsid w:val="00BC35FD"/>
    <w:rsid w:val="00BD0125"/>
    <w:rsid w:val="00BE5B52"/>
    <w:rsid w:val="00BF1110"/>
    <w:rsid w:val="00C042A1"/>
    <w:rsid w:val="00C23391"/>
    <w:rsid w:val="00C35F49"/>
    <w:rsid w:val="00C458F5"/>
    <w:rsid w:val="00CA0369"/>
    <w:rsid w:val="00CA139F"/>
    <w:rsid w:val="00CB4827"/>
    <w:rsid w:val="00CB4C1A"/>
    <w:rsid w:val="00CB7BA4"/>
    <w:rsid w:val="00CD0F74"/>
    <w:rsid w:val="00CE183C"/>
    <w:rsid w:val="00D156E9"/>
    <w:rsid w:val="00D279BA"/>
    <w:rsid w:val="00D447CB"/>
    <w:rsid w:val="00D447F1"/>
    <w:rsid w:val="00D53B75"/>
    <w:rsid w:val="00D55F37"/>
    <w:rsid w:val="00D70124"/>
    <w:rsid w:val="00DA05D3"/>
    <w:rsid w:val="00DF34C2"/>
    <w:rsid w:val="00E56AAF"/>
    <w:rsid w:val="00E652F2"/>
    <w:rsid w:val="00E81C7E"/>
    <w:rsid w:val="00E82518"/>
    <w:rsid w:val="00EF11FF"/>
    <w:rsid w:val="00EF57E6"/>
    <w:rsid w:val="00F20CE0"/>
    <w:rsid w:val="00F628F3"/>
    <w:rsid w:val="00F66F22"/>
    <w:rsid w:val="00FA53CA"/>
    <w:rsid w:val="00FD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compound/sodium%20hydroxide" TargetMode="External"/><Relationship Id="rId13"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s://pubchem.ncbi.nlm.nih.gov/compound/water" TargetMode="External"/><Relationship Id="rId12" Type="http://schemas.openxmlformats.org/officeDocument/2006/relationships/hyperlink" Target="http://www.usf.edu/administrative-services/environmental-health-safety/reporting/index.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chem.ncbi.nlm.nih.gov/compound/wa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chem.ncbi.nlm.nih.gov/element/Hydrogen" TargetMode="External"/><Relationship Id="rId4" Type="http://schemas.openxmlformats.org/officeDocument/2006/relationships/webSettings" Target="webSettings.xml"/><Relationship Id="rId9" Type="http://schemas.openxmlformats.org/officeDocument/2006/relationships/hyperlink" Target="https://pubchem.ncbi.nlm.nih.gov/element/Hydrogen" TargetMode="External"/><Relationship Id="rId14"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7</cp:revision>
  <cp:lastPrinted>2019-06-12T17:22:00Z</cp:lastPrinted>
  <dcterms:created xsi:type="dcterms:W3CDTF">2019-10-18T13:35:00Z</dcterms:created>
  <dcterms:modified xsi:type="dcterms:W3CDTF">2020-04-29T19:16:00Z</dcterms:modified>
</cp:coreProperties>
</file>